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#260 (c1)</w:t>
      </w:r>
    </w:p>
    <w:p>
      <w:r>
        <w:t xml:space="preserve">Prompt: </w:t>
      </w:r>
    </w:p>
    <w:p>
      <w:r>
        <w:t>--------------------</w:t>
      </w:r>
    </w:p>
    <w:p>
      <w:r>
        <w:t>The significance of games is often discussed in relation to childhood development, but their value for adults remains a subject of debate. In my opinion, I strongly disagree with disagree. This essay will provide two reasons supporting my idea.</w:t>
        <w:br/>
        <w:br/>
        <w:t>One clear advantage is that recreational games provide essential mental exercise for adults. In other words, engaging in structured play helps maintain cognitive function as people age in everyday life. For instance, complex board games require strategic planning and problem-solving abilities. As a result, regular participation can significantly slow the decline of mental acuity. Hence, it becomes evident that games are valuable for keeping the adult mind sharp.</w:t>
        <w:br/>
        <w:br/>
        <w:t>Another reason is that games offer a crucial emotional outlet and social connection for adults. This is primarily due to the fact that shared gaming experiences build strong interpersonal skills and community bonds in everyday life. This can be exemplified by the fact that online gaming communities provide support networks for people globally. The outcome is that adults feel less isolated and more connected to their peers. This clearly aligns with the view that games are vital for emotional well-being.</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