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#264 (c1)</w:t>
      </w:r>
    </w:p>
    <w:p>
      <w:r>
        <w:t xml:space="preserve">Prompt: </w:t>
      </w:r>
    </w:p>
    <w:p>
      <w:r>
        <w:t>--------------------</w:t>
      </w:r>
    </w:p>
    <w:p>
      <w:r>
        <w:t>Many nations consider imprisonment to be the primary method for administering punishment and promoting reform among offenders. In my opinion, I strongly disagree with disagree. This essay will provide two reasons supporting my idea.</w:t>
        <w:br/>
        <w:br/>
        <w:t>Incarceration, while intended to deter criminal activity, often fails to address the root causes of wrongdoing. In other words, simply confining individuals does not guarantee a change in their destructive patterns of behavior. For instance, a person who commits theft due to poverty remains poor after release, regardless of their jail time. As a result, the individual lacks the necessary economic skills to support a stable life outside the system. Hence, it becomes evident that punitive measures alone are insufficient for genuine rehabilitation.</w:t>
        <w:br/>
        <w:br/>
        <w:t>Education offers a far more constructive path toward genuine societal improvement. This is primarily due to the fact that learning new skills empowers individuals with self-sufficiency. This can be exemplified by the fact that vocational training programs teach inmates marketable trades, such as carpentry or coding. The outcome is that upon release, these former prisoners possess tangible qualifications that increase their employment prospects. This clearly aligns with the view that educational reform is superior to mere punishment.</w:t>
        <w:br/>
        <w:br/>
        <w:t>In conclusion, I strongly disagree with the notion that imprisonment is the sole solution; instead, educational reform is a superior approach. Focusing on vocational training and education provides a more effective means of addressing criminal behavior than simple incarceration.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