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#265 (c1)</w:t>
      </w:r>
    </w:p>
    <w:p>
      <w:r>
        <w:t xml:space="preserve">Prompt: </w:t>
      </w:r>
    </w:p>
    <w:p>
      <w:r>
        <w:t>--------------------</w:t>
      </w:r>
    </w:p>
    <w:p>
      <w:r>
        <w:t>Some senior citizens are increasingly choosing to reside in specialized care facilities rather than remaining with their adult offspring. In my opinion, I strongly agree with agreeing with the statement. This essay will provide two reasons supporting my idea.</w:t>
        <w:br/>
        <w:br/>
        <w:t>One primary reason for this trend is the professional quality of care available in these residences. In other words, nursing homes offer specialized medical attention that surpasses what typical family care can provide. For instance, facilities often employ nurses and therapists who manage complex health issues, such as mobility impairment or chronic illness. As a result, residents receive consistent monitoring and immediate assistance, which is crucial for safety. Hence, it becomes evident that professional care ensures a higher standard of physical well-being.</w:t>
        <w:br/>
        <w:br/>
        <w:t>Another compelling factor is the desire for maintaining personal autonomy and privacy. This is primarily due to the fact that these institutions are designed to promote independence within a structured environment. This can be exemplified by the fact that many homes offer engaging social activities and tailored recreational programs, allowing residents to maintain a fulfilling routine. The outcome is that seniors feel respected and empowered, rather than feeling like a burden on their children. This clearly aligns with the view that professional settings support self-sufficiency.</w:t>
        <w:br/>
        <w:br/>
        <w:t>In conclusion, I strongly agree with agreeing with the statement. This is because professional residences provide specialized medical attention and foster an environment that promotes personal autonomy and self-sufficiency.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