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#265 (c1)</w:t>
      </w:r>
    </w:p>
    <w:p>
      <w:r>
        <w:t xml:space="preserve">Prompt: </w:t>
      </w:r>
    </w:p>
    <w:p>
      <w:r>
        <w:t>--------------------</w:t>
      </w:r>
    </w:p>
    <w:p>
      <w:r>
        <w:t>The choice of where older adults reside, specifically between family homes and specialized care facilities, is a subject of considerable discussion. In my opinion, I strongly disagree with disagreeing with the statement. This essay will provide two reasons supporting my idea.</w:t>
        <w:br/>
        <w:br/>
        <w:t>Living with adult children can provide a strong sense of belonging and emotional support. In other words, the presence of family members offers continuous companionship and immediate assistance. For instance, a grandparent living with their children benefits from daily interaction and shared activities. As a result, the emotional well-being of the older person is significantly enhanced by this close proximity. Hence, it becomes evident that family living arrangements contribute positively to the overall quality of life.</w:t>
        <w:br/>
        <w:br/>
        <w:t>Furthermore, family living arrangements help maintain the individual's sense of autonomy and privacy. This is primarily due to the fact that remaining in a familiar environment allows for personal routines to continue uninterrupted. This can be exemplified by the fact that an individual can maintain their private hobbies and personal space within their own home. The outcome is that the older person retains a greater degree of self-determination and control over their daily life. This clearly aligns with the view that staying at home supports personal independence.</w:t>
        <w:br/>
        <w:br/>
        <w:t>In conclusion, I strongly disagree with disagreeing with the statement. This is because cohabitation with family enhances emotional well-being through companionship, while simultaneously preserving personal autonomy and self-determination.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