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#266 (b2)</w:t>
      </w:r>
    </w:p>
    <w:p>
      <w:r>
        <w:t xml:space="preserve">Prompt: </w:t>
      </w:r>
    </w:p>
    <w:p>
      <w:r>
        <w:t>--------------------</w:t>
      </w:r>
    </w:p>
    <w:p>
      <w:r>
        <w:t>Improving the quality of life in human settlements often requires changes that affect the natural surroundings. In my opinion, I strongly agree with agree. This essay will provide two reasons supporting my idea.</w:t>
        <w:br/>
        <w:br/>
        <w:t>One clear advantage is that economic growth requires the use of natural resources. In other words, building better infrastructure and creating more goods needs materials from the environment in everyday life in everyday life in everyday life. For instance, making new roads or factories requires cutting down trees and digging up minerals. As a result, this activity increases pollution and changes the natural landscape. Hence, it becomes evident that development causes damage to the environment.</w:t>
        <w:br/>
        <w:br/>
        <w:t>Another reason is that modern living requires more energy and power. This is primarily due to the fact that people need electricity for homes, transport, and industries in everyday life in everyday life in everyday life. This can be exemplified by the fact that burning fossil fuels to generate power releases harmful gases. The outcome is that air quality drops, and global warming becomes a serious issue. This clearly aligns with the view that improving standards damages the environment.</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