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#266 (c1)</w:t>
      </w:r>
    </w:p>
    <w:p>
      <w:r>
        <w:t xml:space="preserve">Prompt: </w:t>
      </w:r>
    </w:p>
    <w:p>
      <w:r>
        <w:t>--------------------</w:t>
      </w:r>
    </w:p>
    <w:p>
      <w:r>
        <w:t>The assertion that improving living standards necessitates the destruction of the environment is a highly debatable claim. In my opinion, I strongly disagree with disagree. This essay will provide two reasons supporting my idea.</w:t>
        <w:br/>
        <w:br/>
        <w:t>Sustainable development can be achieved without compromising ecological integrity. In other words, human progress does not have to come at the expense of natural resources. For instance, adopting renewable energy sources, such as solar and wind power, significantly reduces carbon emissions. As a result, communities can maintain a high quality of life while simultaneously mitigating pollution. Hence, it becomes evident that advanced technologies offer pathways to both prosperity and conservation.</w:t>
        <w:br/>
        <w:br/>
        <w:t>Prioritizing environmental conservation is essential for long-term human flourishing. This is primarily due to the fact that natural ecosystems provide vital services necessary for survival. This can be exemplified by the fact that intact forests regulate local climates and prevent soil erosion. The outcome is that biodiversity remains robust, supporting agricultural yields and clean water supplies. This clearly aligns with the view that sustainable practices are foundational to improving living standards.</w:t>
        <w:br/>
        <w:br/>
        <w:t>In conclusion, I strongly disagree with the statement that improving living standards requires environmental destruction. Maintaining ecological integrity through sustainable technologies and prioritizing conservation are crucial for achieving both prosperity and a high quality of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