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#267 (c1)</w:t>
      </w:r>
    </w:p>
    <w:p>
      <w:r>
        <w:t xml:space="preserve">Prompt: </w:t>
      </w:r>
    </w:p>
    <w:p>
      <w:r>
        <w:t>--------------------</w:t>
      </w:r>
    </w:p>
    <w:p>
      <w:r>
        <w:t>The debate surrounding the privatization of public sector undertakings involves assessing its overall benefit to society. In my opinion, I strongly agree with agreeing with the statement. This essay will provide two reasons supporting my idea.</w:t>
        <w:br/>
        <w:br/>
        <w:t>Privatization can significantly boost operational efficiency within state-owned enterprises. In other words, private companies are typically driven by profit motives, which necessitates optimizing resource allocation in everyday life. For instance, a state-run railway system might adopt modern ticketing technology, improving customer experience. As a result, the service becomes more accessible and reliable for the general populace. Hence, it becomes evident that market competition enhances the quality of public services.</w:t>
        <w:br/>
        <w:br/>
        <w:t>Another compelling argument is that privatization stimulates economic growth through increased investment. This is primarily due to the fact that private entities possess greater access to capital markets than government bodies. This can be exemplified by the fact that a utility company selling its services to the private sector attracts foreign direct investment. The outcome is that job creation increases, and the overall national economy benefits substantially. This clearly aligns with the view that private ownership promotes robust economic development.</w:t>
        <w:br/>
        <w:br/>
        <w:t>In conclusion, I strongly agree with agreeing with the statement. This is because privatization enhances the quality of public services through market competition and stimulates robust economic development by attracting increased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