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#267 (c1)</w:t>
      </w:r>
    </w:p>
    <w:p>
      <w:r>
        <w:t xml:space="preserve">Prompt: </w:t>
      </w:r>
    </w:p>
    <w:p>
      <w:r>
        <w:t>--------------------</w:t>
      </w:r>
    </w:p>
    <w:p>
      <w:r>
        <w:t>The process of transferring public sector undertakings to private ownership is a subject of considerable debate. In my opinion, I strongly disagree with disagree. This essay will provide two reasons supporting my idea.</w:t>
        <w:br/>
        <w:br/>
        <w:t>Privatization often compromises the fundamental accessibility of essential public services. In other words, when government-owned utilities are sold, the primary focus shifts from public welfare to maximizing shareholder profit. For instance, a municipal water company might raise tariffs significantly to boost returns for private investors. As a result, low-income households may struggle to afford basic necessities, leading to social hardship. Hence, it becomes evident that profit motives can undermine the universal provision of critical services.</w:t>
        <w:br/>
        <w:br/>
        <w:t>Furthermore, private management frequently neglects the broader societal needs of the community. This is primarily due to the fact that private companies are incentivized to cut costs, often impacting necessary infrastructure maintenance. This can be exemplified by the fact that a private railway service might reduce maintenance on older tracks to improve short-term profitability. The outcome is that the overall reliability and safety of the transport system diminish over time, inconveniencing commuters. This clearly aligns with the view that operational efficiency should not supersede public safety and accessibility.</w:t>
        <w:br/>
        <w:br/>
        <w:t>In conclusion, I strongly disagree with disagree. This is clear from privatization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