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#268 (c1)</w:t>
      </w:r>
    </w:p>
    <w:p>
      <w:r>
        <w:t xml:space="preserve">Prompt: </w:t>
      </w:r>
    </w:p>
    <w:p>
      <w:r>
        <w:t>--------------------</w:t>
      </w:r>
    </w:p>
    <w:p>
      <w:r>
        <w:t>It is a common belief that a person's external appearance dictates their true character. In my opinion, I strongly agree with agree. This essay will provide two reasons supporting my idea.</w:t>
        <w:br/>
        <w:br/>
        <w:t>People often make assumptions about others based solely on their physical presentation. In other words, they might assume that someone's wealth or attire reflects their inner values. For instance, an individual dressed in expensive clothing might be mistakenly perceived as arrogant or materialistic. As a result, these superficial judgments can prevent people from forming genuine connections with others. Hence, it becomes evident that true worth resides far beyond mere outward show.</w:t>
        <w:br/>
        <w:br/>
        <w:t>A person's internal character is far more significant than how they look to the casual observer. This is primarily due to the fact that inner qualities, such as kindness and intelligence, are invisible to the naked eye. This can be exemplified by the fact that a quiet, unassuming student may possess remarkable academic potential. The outcome is that society often overlooks such valuable traits because they do not fit conventional standards of attractiveness. This clearly aligns with the view that genuine character requires deeper consideration.</w:t>
        <w:br/>
        <w:br/>
        <w:t>In conclusion, I strongly agree with agree. This is clear from often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