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#269 (b2)</w:t>
      </w:r>
    </w:p>
    <w:p>
      <w:r>
        <w:t xml:space="preserve">Prompt: </w:t>
      </w:r>
    </w:p>
    <w:p>
      <w:r>
        <w:t>--------------------</w:t>
      </w:r>
    </w:p>
    <w:p>
      <w:r>
        <w:t>Some companies must decide whether to use their money to support the arts or to protect the environment. In my opinion, I strongly agree with supporting the first option. This essay will provide two reasons supporting my idea.</w:t>
        <w:br/>
        <w:br/>
        <w:t>Supporting the arts helps people feel good and gives communities a sense of identity. In other words, art is important for the mental and emotional health of people. For instance, local art centres often provide workshops for people of all ages. As a result, these places help people meet others and feel connected to their community. Hence, it becomes evident that arts funding improves the quality of life for many people.</w:t>
        <w:br/>
        <w:br/>
        <w:t>Protecting the environment is vital for the survival of all living things. This is primarily due to the fact that nature provides the basic resources we need to live. This can be exemplified by the fact that clean water and fresh air come from healthy ecosystems. The outcome is that people can stay healthy and the planet can continue to support life. This clearly aligns with the view that environmental protection is a basic need for humanity.</w:t>
        <w:br/>
        <w:br/>
        <w:t>In conclusion, I strongly agree that the company should choose to support the arts. Both arts funding improves the quality of life, and environmental protection is a basic need for humanity.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