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#269 (c1)</w:t>
      </w:r>
    </w:p>
    <w:p>
      <w:r>
        <w:t xml:space="preserve">Prompt: </w:t>
      </w:r>
    </w:p>
    <w:p>
      <w:r>
        <w:t>--------------------</w:t>
      </w:r>
    </w:p>
    <w:p>
      <w:r>
        <w:t>The allocation of financial resources between supporting artistic endeavors and protecting the natural environment presents a significant debate. In my opinion, I strongly agree with agree. This essay will provide two reasons supporting my idea.</w:t>
        <w:br/>
        <w:br/>
        <w:t>Funding the arts provides immense cultural value to a community. In other words, artistic support enriches the collective spirit and identity of a society in everyday life in everyday life in everyday life. For instance, local theaters and museums depend on grants to maintain their programs and facilities. As a result, these institutions foster critical thinking and provide educational opportunities for many citizens. Hence, it becomes evident that cultural investment is vital for a vibrant community.</w:t>
        <w:br/>
        <w:br/>
        <w:t>Conversely, dedicating funds to environmental protection is equally crucial for long-term survival. This is primarily due to the fact that natural resources underpin all human activities in everyday life in everyday life. This can be exemplified by the fact that reforestation projects restore vital habitats for local wildlife. The outcome is that improved biodiversity helps stabilize the regional ecosystem and mitigates pollution. This clearly aligns with the view that ecological preservation is fundamental for human prosperity.</w:t>
        <w:br/>
        <w:br/>
        <w:t>In conclusion, I strongly agree with agree. This is clear from funding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