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 (c1)</w:t>
      </w:r>
    </w:p>
    <w:p>
      <w:r>
        <w:t xml:space="preserve">Prompt: </w:t>
      </w:r>
    </w:p>
    <w:p>
      <w:r>
        <w:t>--------------------</w:t>
      </w:r>
    </w:p>
    <w:p>
      <w:r>
        <w:t>The relative importance of acquiring life values and ethics compared to developing practical skills for professional advancement is a subject of considerable debate. In my opinion, I strongly disagree with disagree. This essay will provide two reasons supporting my idea.</w:t>
        <w:br/>
        <w:br/>
        <w:t>Education must prioritize the development of ethical values alongside technical abilities. In other words, a curriculum should cultivate a student's moral compass, not just their technical aptitude in everyday life. For instance, studying case studies involving corporate misconduct teaches students about ethical dilemmas. As a result, graduates are better equipped to make responsible decisions in professional settings. Hence, it becomes evident that ethical grounding is crucial for holistic development.</w:t>
        <w:br/>
        <w:br/>
        <w:t>Furthermore, focusing on values provides a stronger foundation for long-term personal growth. This is primarily due to the fact that practical skills alone do not guarantee fulfillment or stability. This can be exemplified by the fact that many highly skilled individuals experience burnout because they lack a sense of purpose. The outcome is that a strong ethical framework helps individuals navigate professional setbacks with resilience. This clearly aligns with the view that values are foundational to a successful life.</w:t>
        <w:br/>
        <w:br/>
        <w:t>In conclusion, I strongly disagree with disagree. This is clear from education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