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#270 (b2)</w:t>
      </w:r>
    </w:p>
    <w:p>
      <w:r>
        <w:t xml:space="preserve">Prompt: </w:t>
      </w:r>
    </w:p>
    <w:p>
      <w:r>
        <w:t>--------------------</w:t>
      </w:r>
    </w:p>
    <w:p>
      <w:r>
        <w:t>It is often debated whether parents should make important life decisions for their older teenage children. In my opinion, I strongly agree with agree. This essay will provide two reasons supporting my idea.</w:t>
        <w:br/>
        <w:br/>
        <w:t>Parents should guide their older children in making important life choices. In other words, This is because they help shape the young person's understanding of the world. For instance, A practical example is when they guide choices about university courses or career paths. As a result, This result supports the view that the child receives necessary support and knowledge for the future. Hence, it becomes evident that This shows that parental guidance is very helpful during this time.</w:t>
        <w:br/>
        <w:br/>
        <w:t>Parents should also make decisions for their older children to ensure their safety and well-being. This is primarily due to the fact that This is mainly because teenagers might lack full life experience. This can be exemplified by the fact that For instance, they might not know how to manage money or handle difficult situations. The outcome is that they might face risks or make poor choices without adult help. This clearly aligns with the view that This clearly shows that parental support is necessary for protection.</w:t>
        <w:br/>
        <w:br/>
        <w:t>In conclusion, I strongly agree that parents should make important decisions for their older teenage children. Parental guidance helps shape understanding, and parental support is necessary for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