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#270 (b2)</w:t>
      </w:r>
    </w:p>
    <w:p>
      <w:r>
        <w:t xml:space="preserve">Prompt: </w:t>
      </w:r>
    </w:p>
    <w:p>
      <w:r>
        <w:t>--------------------</w:t>
      </w:r>
    </w:p>
    <w:p>
      <w:r>
        <w:t>The question of whether parents should make major life choices for their older teenagers is a common discussion. In my opinion, I strongly disagree with disagree. This essay will provide two reasons supporting my idea.</w:t>
        <w:br/>
        <w:br/>
        <w:t>Parents should not make important decisions for their older teenagers. In other words, teenagers need space to make their own choices about their future. For instance, deciding on a university major is a big choice for a young person. As a result, forcing a choice can make the teen feel controlled and unhappy. Hence, it becomes evident that allowing them to choose builds self-reliance.</w:t>
        <w:br/>
        <w:br/>
        <w:t>Teenagers must be given the chance to make their own decisions. This is primarily due to the fact that making choices is how they learn responsibility. This can be exemplified by the fact that managing a school schedule requires planning and effort. The outcome is that the teen learns how to handle real-life pressures and setbacks. This clearly aligns with the view that personal growth comes from making mistakes.</w:t>
        <w:br/>
        <w:br/>
        <w:t>In conclusion, I strongly disagree with the idea that parents should make major decisions for their older teenagers. Giving teens the chance to choose their future and learn responsibility is vital for their personal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