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#270 (c1)</w:t>
      </w:r>
    </w:p>
    <w:p>
      <w:r>
        <w:t xml:space="preserve">Prompt: </w:t>
      </w:r>
    </w:p>
    <w:p>
      <w:r>
        <w:t>--------------------</w:t>
      </w:r>
    </w:p>
    <w:p>
      <w:r>
        <w:t>The question of whether parents should guide their older teenage children through major life decisions is a subject of considerable debate. In my opinion, I strongly agree with agree. This essay will provide two reasons supporting my idea.</w:t>
        <w:br/>
        <w:br/>
        <w:t>Parents should guide their older teenage children through major life decisions because they possess invaluable life experience. In other words, parents have accumulated knowledge regarding career paths and personal maturity that teenagers lack. For instance, a parent might advise a child about the financial realities of university study, which the child has not yet encountered. As a result, this guidance helps the teenager anticipate potential obstacles and plan more realistically. Hence, it becomes evident that parental involvement is crucial for developing sound decision-making skills.</w:t>
        <w:br/>
        <w:br/>
        <w:t>Parents should guide their older teenage children through major life decisions because they are essential for emotional development. This is primarily due to the fact that parents provide a stable emotional foundation during a period of intense change. This can be exemplified by the fact that a parent can help a child navigate the stress of academic pressure or social conflict. The outcome is that the teenager feels supported and secure while exploring their autonomy. This clearly aligns with the view that parental mentorship is vital for emotional well-being.</w:t>
        <w:br/>
        <w:br/>
        <w:t>In conclusion, I strongly agree that parents should guide their older teenage children through major life decisions. Parental guidance is essential for developing sound decision-making skills, and this support is also vital for emotional development during adolescence.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