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#270 (c1)</w:t>
      </w:r>
    </w:p>
    <w:p>
      <w:r>
        <w:t xml:space="preserve">Prompt: </w:t>
      </w:r>
    </w:p>
    <w:p>
      <w:r>
        <w:t>--------------------</w:t>
      </w:r>
    </w:p>
    <w:p>
      <w:r>
        <w:t>The question of whether parents should make major life decisions for their older teenage children is a subject of considerable debate. In my opinion, I strongly disagree with disagree. This essay will provide two reasons supporting my idea.</w:t>
        <w:br/>
        <w:br/>
        <w:t>Granting parents authority over their older children's choices undermines their developing sense of autonomy. In other words, teenagers need the opportunity to navigate challenges independently to build self-reliance. For instance, deciding on a university major or a career path is a significant life choice that requires personal consideration. As a result, removing this responsibility stunts the child's ability to make sound judgments in the future. Hence, it becomes evident that allowing them to make these decisions is crucial for their maturation.</w:t>
        <w:br/>
        <w:br/>
        <w:t>The process of growing up necessitates the exercise of personal agency and accountability. This is primarily due to the fact that making mistakes is an essential component of learning and emotional development. This can be exemplified by the fact that managing personal finances, such as budgeting pocket money, teaches valuable lessons about resource allocation. The outcome is that the young person learns to weigh consequences and manage their own resources effectively. This clearly aligns with the view that self-determination must be fostered during adolescence.</w:t>
        <w:br/>
        <w:br/>
        <w:t>In conclusion, I strongly disagree with disagree. This is clear from granting and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