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#273 (c1)</w:t>
      </w:r>
    </w:p>
    <w:p>
      <w:r>
        <w:t xml:space="preserve">Prompt: </w:t>
      </w:r>
    </w:p>
    <w:p>
      <w:r>
        <w:t>--------------------</w:t>
      </w:r>
    </w:p>
    <w:p>
      <w:r>
        <w:t>The debate surrounding teacher compensation often involves whether a teacher's salary should be directly linked to the academic progress of their students. In my opinion, I strongly agree with agree. This essay will provide two reasons supporting my idea.</w:t>
        <w:br/>
        <w:br/>
        <w:t>Paying teachers based on student learning outcomes is a logical approach to improving educational quality. In other words, this system directly links professional reward to measurable student achievement. For instance, a school that implements innovative teaching methods and sees significant academic growth in its cohort would receive higher funding. As a result, this financial incentive encourages educators to adopt more effective pedagogical practices. Hence, it becomes evident that linking pay to student outcomes motivates better teaching.</w:t>
        <w:br/>
        <w:br/>
        <w:t>Furthermore, tying compensation to student performance enhances accountability within the educational sector. This is primarily due to the fact that teachers would have a direct financial incentive to maximize every student's potential. This can be exemplified by the fact that teachers would focus intensely on struggling students, ensuring they meet required benchmarks. The outcome is that the overall student performance across the institution would improve considerably. This clearly aligns with the view that financial incentives drive educational excellence.</w:t>
        <w:br/>
        <w:br/>
        <w:t>In conclusion, I strongly agree with agree. This is clear from paying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