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#277 (c1)</w:t>
      </w:r>
    </w:p>
    <w:p>
      <w:r>
        <w:t xml:space="preserve">Prompt: </w:t>
      </w:r>
    </w:p>
    <w:p>
      <w:r>
        <w:t>--------------------</w:t>
      </w:r>
    </w:p>
    <w:p>
      <w:r>
        <w:t>The significance of reading and writing skills has been widely debated, particularly when comparing modern times to previous eras. In my opinion, I strongly disagree with disagree. This essay will provide two reasons supporting my idea.</w:t>
        <w:br/>
        <w:br/>
        <w:t>The notion that literacy is paramount today is somewhat overstated. In other words, modern communication relies on diverse methods beyond traditional text in everyday life. For instance, visual media, such as infographics and videos, convey complex ideas efficiently. As a result, the ability to interpret non-textual information is equally crucial for understanding the world. Hence, it becomes evident that communication proficiency encompasses more than just textual skills.</w:t>
        <w:br/>
        <w:br/>
        <w:t>Furthermore, the rapid advancement of technology has diversified the ways knowledge is acquired. This is primarily due to the fact that oral presentations and multimedia platforms are now standard in professional settings in everyday life. This can be exemplified by the fact that many corporate training sessions utilize interactive simulations rather than lengthy manuals. The outcome is that effective professional development requires strong listening and speaking abilities. This clearly aligns with the view that comprehensive communication skills are more valuable than mere writing ability.</w:t>
        <w:br/>
        <w:br/>
        <w:t>In conclusion, I strongly disagree with disagree. This is clear from notion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