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#278 (c1)</w:t>
      </w:r>
    </w:p>
    <w:p>
      <w:r>
        <w:t xml:space="preserve">Prompt: </w:t>
      </w:r>
    </w:p>
    <w:p>
      <w:r>
        <w:t>--------------------</w:t>
      </w:r>
    </w:p>
    <w:p>
      <w:r>
        <w:t>The substantial income generated by famous athletes and entertainers has become a widely debated topic. In my opinion, I strongly positive with the advantages outweigh the disadvantages. This essay will provide two reasons supporting my idea.</w:t>
        <w:br/>
        <w:br/>
        <w:t>On the one hand, the immense financial compensation motivates individuals to achieve peak performance in their respective fields. In other words, the promise of great wealth encourages intense dedication and rigorous training regimens. For instance, professional athletes often train for many hours daily, knowing that success can lead to substantial earnings. As a result, the competitive spirit within the sport intensifies, pushing boundaries of human capability. Hence, it becomes evident that the potential for financial reward drives exceptional levels of commitment and excellence.</w:t>
        <w:br/>
        <w:br/>
        <w:t>On the other hand, the pursuit of such lucrative careers presents significant drawbacks for the individuals involved. This is primarily due to the fact that the pressure to maintain public appeal can be overwhelming and detrimental to mental health. This can be exemplified by the fact that many stars face intense scrutiny regarding their personal lives, leading to anxiety. The outcome is that their focus may shift from athletic performance to managing public perception. This clearly aligns with the view that the negative psychological impact of fame is a serious concern.</w:t>
        <w:br/>
        <w:br/>
        <w:t>In conclusion, I strongly agree that the financial rewards are beneficial, despite the drawbacks associated with the pursuit of fame. The motivation provided by financial compensation encourages excellence, while the negative psychological impact requires careful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