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#282 (a2_b1)</w:t>
      </w:r>
    </w:p>
    <w:p>
      <w:r>
        <w:t xml:space="preserve">Prompt: </w:t>
      </w:r>
    </w:p>
    <w:p>
      <w:r>
        <w:t>--------------------</w:t>
      </w:r>
    </w:p>
    <w:p>
      <w:r>
        <w:t>Even with good farming methods, some people still do not have enough food to eat. In my opinion, I strongly agree with identifying problems and proposing solutions. This essay will provide two reasons supporting my idea.</w:t>
        <w:br/>
        <w:br/>
        <w:t>The major reason is that food does not reach poor areas well. In other words, food grown in good places does not reach people who need it in daily life. For example, bad roads make it hard to move rice from the farm to the city. As a result, many families cannot buy enough food for their meals. This shows that we must fix the way food moves to people.</w:t>
        <w:br/>
        <w:br/>
        <w:t>One effective solution is to build better roads and keeping places. This is because better transport helps bring food from farms to markets easily in daily life. For example, building a new bridge allows trucks to carry grain to local villages. As a result, food becomes available for more people, and they can eat better. This supports the view that better transport helps people eat well.</w:t>
        <w:br/>
        <w:br/>
        <w:t>In conclusion, I strongly agree that we can help people who do not have enough food. We must fix the poor food movement and build better roads and keeping places.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