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#283 (b2)</w:t>
      </w:r>
    </w:p>
    <w:p>
      <w:r>
        <w:t xml:space="preserve">Prompt: </w:t>
      </w:r>
    </w:p>
    <w:p>
      <w:r>
        <w:t>--------------------</w:t>
      </w:r>
    </w:p>
    <w:p>
      <w:r>
        <w:t>The movement of people from countryside areas to large towns is a major global trend. In my opinion, I strongly disagree with disagreeing with the statement. This essay will provide two reasons supporting my idea.</w:t>
        <w:br/>
        <w:br/>
        <w:t>One clear advantage is that this migration pattern is not always positive for the receiving city. In other words, many large cities already have too much population and limited space. For instance, the existing public transport systems struggling to handle the sudden increase in commuters. As a result, traffic jams become worse, and the quality of life for all residents drops. Hence, it becomes evident that this movement puts too much pressure on city resources.</w:t>
        <w:br/>
        <w:br/>
        <w:t>Another reason is that the focus on city life ignores the potential of smaller communities. This is primarily due to the fact that many villages possess unique natural resources and local skills. This can be exemplified by the fact that many farming areas starting to use technology to improve methods. The outcome is that these local economies can grow stronger, creating better jobs for people who stay put. This clearly aligns with the view that supporting local areas is more helpful than moving to big cities.</w:t>
        <w:br/>
        <w:br/>
        <w:t>In conclusion, I strongly disagree with the idea that migration is always good. Supporting local areas is better than moving to big cities, and this movement puts too much pressure on city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