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#287 (c1)</w:t>
      </w:r>
    </w:p>
    <w:p>
      <w:r>
        <w:t xml:space="preserve">Prompt: </w:t>
      </w:r>
    </w:p>
    <w:p>
      <w:r>
        <w:t>--------------------</w:t>
      </w:r>
    </w:p>
    <w:p>
      <w:r>
        <w:t>Many students are choosing to take a gap year before commencing their higher education. In my opinion, I strongly positive with the advantages outweigh the disadvantages. This essay will provide two reasons supporting my idea.</w:t>
        <w:br/>
        <w:br/>
        <w:t>On the one hand, taking a gap year provides invaluable opportunities for personal growth. In other words, this period allows individuals to gain maturity and self-awareness outside the academic environment. For instance, a student might volunteer abroad, which exposes them to diverse cultures and responsibilities. As a result, they develop crucial life skills, such as adaptability and resourcefulness. Hence, it becomes evident that such a break significantly enhances one's overall readiness for university life.</w:t>
        <w:br/>
        <w:br/>
        <w:t>On the other hand, a potential disadvantage of a gap year is the risk of academic inertia. This is primarily due to the fact that extended time away from structured learning can cause students to lose momentum in their studies. This can be exemplified by the fact that some individuals struggle to readjust to the rigorous pace of university coursework. The outcome is that they may find the transition back to academia more challenging than anticipated. This clearly aligns with the view that a lack of routine can negatively impact academic performance.</w:t>
        <w:br/>
        <w:br/>
        <w:t>In conclusion, I strongly agree that the advantages outweigh the disadvantages. While the risk of academic inertia exists, the personal growth and enhanced readiness gained from a gap year are far more beneficial for a student's career path.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