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#287 (c1)</w:t>
      </w:r>
    </w:p>
    <w:p>
      <w:r>
        <w:t xml:space="preserve">Prompt: </w:t>
      </w:r>
    </w:p>
    <w:p>
      <w:r>
        <w:t>--------------------</w:t>
      </w:r>
    </w:p>
    <w:p>
      <w:r>
        <w:t>The decision to take a gap year, a period of time between educational stages, is a topic of considerable debate. In my opinion, I strongly negative with the disadvantages outweigh the advantages. This essay will provide two reasons supporting my idea.</w:t>
        <w:br/>
        <w:br/>
        <w:t>On the one hand, a gap year offers invaluable opportunities for personal growth and self-discovery. In other words, students can gain practical life experience outside the structured academic environment. For instance, volunteering abroad allows individuals to interact with diverse cultures and communities. As a result, participants develop enhanced adaptability and a broader global perspective. Hence, it becomes evident that such breaks significantly enrich a person's overall maturity and understanding of the world.</w:t>
        <w:br/>
        <w:br/>
        <w:t>On the other hand, a gap year presents significant academic drawbacks and potential disruptions to career momentum. This is primarily due to the fact that extended breaks can lead to a decline in academic focus and routine. This can be exemplified by the fact that students may struggle to reintegrate into the rigorous demands of university study. The outcome is that the initial enthusiasm for learning might diminish, creating a gap in knowledge retention. This clearly aligns with the view that such interruptions can negatively impact educational continuity.</w:t>
        <w:br/>
        <w:br/>
        <w:t>In conclusion, I strongly negative with the disadvantages outweigh the advantages. This is because extended breaks can diminish academic focus, and such interruptions may negatively impact educational continuity.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