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 (c1)</w:t>
      </w:r>
    </w:p>
    <w:p>
      <w:r>
        <w:t xml:space="preserve">Prompt: </w:t>
      </w:r>
    </w:p>
    <w:p>
      <w:r>
        <w:t>--------------------</w:t>
      </w:r>
    </w:p>
    <w:p>
      <w:r>
        <w:t>The preservation of aesthetically pleasing historical architecture is a matter of significant cultural importance. In my opinion, I strongly agree with the view that it is important to preserve beautiful old buildings even if it is expensive. This essay will provide two reasons supporting my idea.</w:t>
        <w:br/>
        <w:br/>
        <w:t>These structures embody the craftsmanship and cultural identity of past generations. In other words, they serve as tangible links to the historical narratives of a community. For instance, the preserved Roman Colosseum offers insights into ancient engineering prowess and societal organization. As a result, modern inhabitants gain a deeper appreciation for the ingenuity of previous civilizations. Hence, it becomes evident that maintaining these buildings is crucial for cultural education.</w:t>
        <w:br/>
        <w:br/>
        <w:t>Furthermore, beautiful old buildings contribute significantly to the unique character and economic vitality of urban areas. This is primarily due to the fact that such landmarks attract cultural tourism and investment. This can be exemplified by the fact that districts featuring preserved Victorian architecture often see increased foot traffic and local business revenue. The outcome is that the local economy benefits substantially from the aesthetic appeal and historical draw of these sites. This clearly aligns with the view that preserving these structures is economically beneficial.</w:t>
        <w:br/>
        <w:br/>
        <w:t>In conclusion, I strongly agree that preserving beautiful old buildings is vital; these structures are essential for cultural education, and they also contribute significantly to the unique character of urban areas.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