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(c1)</w:t>
      </w:r>
    </w:p>
    <w:p>
      <w:r>
        <w:t xml:space="preserve">Prompt: </w:t>
      </w:r>
    </w:p>
    <w:p>
      <w:r>
        <w:t>--------------------</w:t>
      </w:r>
    </w:p>
    <w:p>
      <w:r>
        <w:t>The debate surrounding the preservation of aesthetically pleasing historical structures often involves considerable financial considerations. In my opinion, I strongly disagree with the view that it is important to preserve beautiful old buildings even if it is expensive. This essay will provide two reasons supporting my idea.</w:t>
        <w:br/>
        <w:br/>
        <w:t>Prioritizing modern development over old buildings allows for better resource allocation within urban planning. In other words, the immense cost associated with maintaining outdated architectural styles diverts funds from more pressing community needs. For instance, a city could utilize the land occupied by a derelict mansion to construct affordable housing units. As a result, the community gains necessary shelter, which improves overall quality of life for many residents. Hence, it becomes evident that economic practicality should guide urban development decisions.</w:t>
        <w:br/>
        <w:br/>
        <w:t>Focusing on new construction methods promotes architectural innovation and sustainability in the built environment. This is primarily due to the fact that modern materials and techniques offer superior energy efficiency and structural integrity. This can be exemplified by the fact that contemporary designs incorporate solar power and rainwater harvesting systems. The outcome is that buildings become more environmentally responsible, reducing the city's carbon footprint significantly. This clearly aligns with the view that progress and sustainability must take precedence over mere aesthetic value.</w:t>
        <w:br/>
        <w:br/>
        <w:t>In conclusion, I strongly disagree with the view that it is important to preserve beautiful old buildings even if it is expensive. Urban planning should prioritize modern development for resource allocation, and focusing on new construction methods promotes architectural innovation and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