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#291 (c1)</w:t>
      </w:r>
    </w:p>
    <w:p>
      <w:r>
        <w:t xml:space="preserve">Prompt: </w:t>
      </w:r>
    </w:p>
    <w:p>
      <w:r>
        <w:t>--------------------</w:t>
      </w:r>
    </w:p>
    <w:p>
      <w:r>
        <w:t>The cost of education is a significant concern for many families, prompting discussions about making schooling tuition-free. In my opinion, I strongly agree with agree. This essay will provide two reasons supporting my idea.</w:t>
        <w:br/>
        <w:br/>
        <w:t>Making education universally accessible is crucial for fostering an equitable society. In other words, financial barriers should not prevent talented students from receiving quality instruction in everyday life in everyday life. For instance, a student from a low-income background might be unable to afford necessary tuition fees. As a result, their academic potential remains untapped, limiting their future opportunities. Hence, it becomes evident that removing financial hurdles promotes social mobility.</w:t>
        <w:br/>
        <w:br/>
        <w:t>Tuition-free schooling helps reduce socioeconomic disparity within a community. This is primarily due to the fact that economic status should not dictate the quality of learning available to children in everyday life. This can be exemplified by the fact that public schools, when fully funded, offer resources comparable to private institutions. The outcome is that all students, regardless of their family's financial difficulties, receive a consistent standard of support. This clearly aligns with the view that universal access to learning is a fundamental right.</w:t>
        <w:br/>
        <w:br/>
        <w:t>In conclusion, I strongly agree with agree. This is clear from making and tuition.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