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#294 (c1)</w:t>
      </w:r>
    </w:p>
    <w:p>
      <w:r>
        <w:t xml:space="preserve">Prompt: </w:t>
      </w:r>
    </w:p>
    <w:p>
      <w:r>
        <w:t>--------------------</w:t>
      </w:r>
    </w:p>
    <w:p>
      <w:r>
        <w:t>The discussion surrounding gender equality often suggests that systemic changes are insufficient to guarantee true parity across all spheres of life. In my opinion, I strongly disagree with disagreeing with the statement. This essay will provide two reasons supporting my idea.</w:t>
        <w:br/>
        <w:br/>
        <w:t>Societies must recognize that economic empowerment is a fundamental prerequisite for achieving genuine gender parity. In other words, financial independence allows women to participate fully in decision-making processes within their communities. For instance, providing access to microloans enables female entrepreneurs to establish sustainable small businesses. As a result, these businesses contribute significantly to local economies and improve household stability. Hence, it becomes evident that economic autonomy is crucial for advancing gender equality.</w:t>
        <w:br/>
        <w:br/>
        <w:t>Furthermore, educational opportunities are paramount for fostering an equitable society. This is primarily due to the fact that comprehensive schooling equips individuals, regardless of gender, with necessary skills for the modern workforce. This can be exemplified by the fact that nations with high female literacy rates exhibit lower rates of child mortality. The outcome is that a skilled female population drives innovation and improves overall public health metrics. This clearly aligns with the view that education is the most powerful catalyst for gender equality.</w:t>
        <w:br/>
        <w:br/>
        <w:t>In conclusion, I strongly disagree with the notion that systemic changes are insufficient; instead, economic empowerment and educational opportunities are the primary drivers for achieving true gender parity.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