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#299 (b2)</w:t>
      </w:r>
    </w:p>
    <w:p>
      <w:r>
        <w:t xml:space="preserve">Prompt: </w:t>
      </w:r>
    </w:p>
    <w:p>
      <w:r>
        <w:t>--------------------</w:t>
      </w:r>
    </w:p>
    <w:p>
      <w:r>
        <w:t>The question of who should make important decisions for teenage children is a common discussion. In my opinion, I strongly agree with agree. This essay will provide two reasons supporting my idea.</w:t>
        <w:br/>
        <w:br/>
        <w:t>Parents and adult relatives should make important decisions for their teenage children. In other words, teenagers often lack the full knowledge needed to make good choices in everyday life. For instance, choosing a university major requires understanding many career paths. As a result, having adult guidance helps them see the full picture. Hence, it becomes evident that adult input is very helpful during this time.</w:t>
        <w:br/>
        <w:br/>
        <w:t>Parents and adult relatives should make important decisions for their teenage children. This is primarily due to the fact that teenagers are still maturing and learning about responsibilities in everyday life. This can be exemplified by the fact that managing money requires adult supervision. The outcome is that children learn good habits and how to save money. This clearly aligns with the view that adult help is necessary for growth.</w:t>
        <w:br/>
        <w:br/>
        <w:t>In conclusion, I strongly agree that parents and adult relatives should make important decisions for their teenage children. Adult input is very helpful during this time, and adult help is necessary for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