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#299 (b2)</w:t>
      </w:r>
    </w:p>
    <w:p>
      <w:r>
        <w:t xml:space="preserve">Prompt: </w:t>
      </w:r>
    </w:p>
    <w:p>
      <w:r>
        <w:t>--------------------</w:t>
      </w:r>
    </w:p>
    <w:p>
      <w:r>
        <w:t>The question of whether adult relatives should make major life choices for their teenage children is a common discussion. In my opinion, I strongly disagree with disagree. This essay will provide two reasons supporting my idea.</w:t>
        <w:br/>
        <w:br/>
        <w:t>Teenagers must learn to make their own decisions to grow into responsible adults. In other words, Making choices for them stops them from developing necessary life skills. For instance, if parents choose all the subjects for a student, the student will not learn how to choose a career path. As a result, This result supports the view that personal choice is vital for personal growth. Hence, it becomes evident that This is because personal choice is vital for personal growth.</w:t>
        <w:br/>
        <w:br/>
        <w:t>Giving teenagers control over their choices helps them build self-reliance and confidence. This is primarily due to the fact that This is mainly because making decisions builds confidence and good thinking skills. This can be exemplified by the fact that A practical example is letting a teen manage their own budget, which teaches them about money management. The outcome is that they become more capable of handling real-world responsibilities. This clearly aligns with the view that This clearly supports the view that personal choice is key to personal growth.</w:t>
        <w:br/>
        <w:br/>
        <w:t>In conclusion, I strongly disagree with the idea that adults should make major decisions for teenagers. Allowing teens to make their own choices helps them grow, and giving them control over their choices builds self-reliance.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