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#299 (c1)</w:t>
      </w:r>
    </w:p>
    <w:p>
      <w:r>
        <w:t xml:space="preserve">Prompt: </w:t>
      </w:r>
    </w:p>
    <w:p>
      <w:r>
        <w:t>--------------------</w:t>
      </w:r>
    </w:p>
    <w:p>
      <w:r>
        <w:t>The question of whether parents or adult relatives should make important decisions for their teenage children is a subject of considerable debate. In my opinion, I strongly agree with agree. This essay will provide two reasons supporting my idea.</w:t>
        <w:br/>
        <w:br/>
        <w:t>Adult relatives should guide their teenagers through major life choices. In other words, adolescents often lack the necessary life experience to make fully informed decisions in everyday life in everyday life. For instance, choosing a university major requires knowledge of diverse career paths and academic requirements. As a result, parental input helps narrow down options and consider practical outcomes. Hence, it becomes evident that adult guidance is crucial for navigating the complexities of adolescence.</w:t>
        <w:br/>
        <w:br/>
        <w:t>Furthermore, adult involvement is necessary for fostering emotional maturity in young people. This is primarily due to the fact that teenagers are still developing their emotional regulation skills in everyday life in everyday life. This can be exemplified by the fact that managing financial budgets requires discipline and foresight. The outcome is that parental oversight teaches accountability and responsible resource management. This clearly aligns with the view that mentorship is vital for building self-reliance.</w:t>
        <w:br/>
        <w:br/>
        <w:t>In conclusion, I strongly agree with agree. This is clear from adult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