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#299 (c1)</w:t>
      </w:r>
    </w:p>
    <w:p>
      <w:r>
        <w:t xml:space="preserve">Prompt: </w:t>
      </w:r>
    </w:p>
    <w:p>
      <w:r>
        <w:t>--------------------</w:t>
      </w:r>
    </w:p>
    <w:p>
      <w:r>
        <w:t>The question of whether adult relatives should make important life decisions for their teenage children is a subject of considerable debate. In my opinion, I strongly disagree with disagree. This essay will provide two reasons supporting my idea.</w:t>
        <w:br/>
        <w:br/>
        <w:t>Allowing parents to make major decisions for their teenagers undermines their developing sense of autonomy. In other words, adolescents must gain the opportunity to navigate challenges independently. For instance, forcing a child to choose a university major without their input can lead to resentment. As a result, the young person may feel that their personal agency is being disregarded. Hence, it becomes evident that self-reliance is crucial for emotional maturity.</w:t>
        <w:br/>
        <w:br/>
        <w:t>Furthermore, such paternalistic decision-making stunts the development of critical thinking skills. This is primarily due to the fact that making choices for others prevents the necessary practice of problem-solving. This can be exemplified by the fact that parents choosing career paths for their children limits exposure to diverse options. The outcome is that the teenager fails to develop the necessary skills to evaluate their own strengths. This clearly aligns with the view that personal responsibility must guide life choices.</w:t>
        <w:br/>
        <w:br/>
        <w:t>In conclusion, I strongly disagree with disagree. This is clear from allowing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