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#303 (a2_b1)</w:t>
      </w:r>
    </w:p>
    <w:p>
      <w:r>
        <w:t xml:space="preserve">Prompt: </w:t>
      </w:r>
    </w:p>
    <w:p>
      <w:r>
        <w:t>--------------------</w:t>
      </w:r>
    </w:p>
    <w:p>
      <w:r>
        <w:t>Some people talk about where it is best for children to grow up: in big cities or in the countryside. In my opinion, I strongly agree with agree. This essay will provide two reasons supporting my idea.</w:t>
        <w:br/>
        <w:br/>
        <w:t>Growing up in a city offers many things for young people. In other words, cities have many things for children to do and see in daily life in daily life in daily life. For example, a child can visit a big museum or a large park in daily life in daily life. As a result, they learn about many things and meet many people. This shows that city life helps children learn and grow.</w:t>
        <w:br/>
        <w:br/>
        <w:t>City life also gives children better access to good schools. This is because schools in cities often have more resources and better teachers in daily life in daily life in daily life. For example, a child can go to a big school with many sports fields in daily life in daily life. As a result, they get a good education and make good friends. This supports the view that city life helps children learn and grow.</w:t>
        <w:br/>
        <w:br/>
        <w:t>In conclusion, I strongly agree with agree. This is clear from growing and 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