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#303 (a2_b1)</w:t>
      </w:r>
    </w:p>
    <w:p>
      <w:r>
        <w:t xml:space="preserve">Prompt: </w:t>
      </w:r>
    </w:p>
    <w:p>
      <w:r>
        <w:t>--------------------</w:t>
      </w:r>
    </w:p>
    <w:p>
      <w:r>
        <w:t>Some people think it is better for children to grow up in big cities than in the countryside. In my opinion, I strongly disagree with disagree. This essay will provide two reasons supporting my idea.</w:t>
        <w:br/>
        <w:br/>
        <w:t>Children need fresh air and open space to grow well. In other words, the countryside offers a calm and natural setting for young people in daily life in daily life today today. For example, a child can play in a large field or near a river in daily life. As a result, they get more exercise and feel less stress. This shows that life outside the city is good for a child's health.</w:t>
        <w:br/>
        <w:br/>
        <w:t>Another reason is that country life gives a strong sense of community and family connection. This is because people in the countryside often know their neighbors well in daily life in daily life in daily life today. For example, the community might organize local festivals or help families with chores in daily life. As a result, children feel safe and feel they belong to a group. This supports the view that strong community ties are important for a child's growth.</w:t>
        <w:br/>
        <w:br/>
        <w:t>In conclusion, I strongly disagree with disagree. This is clear from children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