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#303 (b2)</w:t>
      </w:r>
    </w:p>
    <w:p>
      <w:r>
        <w:t xml:space="preserve">Prompt: </w:t>
      </w:r>
    </w:p>
    <w:p>
      <w:r>
        <w:t>--------------------</w:t>
      </w:r>
    </w:p>
    <w:p>
      <w:r>
        <w:t>Some people argue that growing up in a big city is better for children than growing up in the countryside. In my opinion, I strongly agree with agree. This essay will provide two reasons supporting my idea.</w:t>
        <w:br/>
        <w:br/>
        <w:t>One clear advantage is the better access to educational opportunities in urban areas. In other words, cities have many large schools and colleges in everyday life in everyday life. For instance, a child can attend a specialized science academy near their home. As a result, they gain knowledge and skills that help them later in life. Hence, it becomes evident that city life offers better chances for learning.</w:t>
        <w:br/>
        <w:br/>
        <w:t>Another reason is the wide range of facilities and activities available in big cities. This is primarily due to the fact that cities have many shops, parks, and entertainment centres in everyday life in everyday life. This can be exemplified by the fact that a child can visit a large museum or a cinema easily. The outcome is that they become more creative and learn about different cultures. This clearly aligns with the view that city life provides a richer experience.</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