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#303 (b2)</w:t>
      </w:r>
    </w:p>
    <w:p>
      <w:r>
        <w:t xml:space="preserve">Prompt: </w:t>
      </w:r>
    </w:p>
    <w:p>
      <w:r>
        <w:t>--------------------</w:t>
      </w:r>
    </w:p>
    <w:p>
      <w:r>
        <w:t>Some people believe that it is better for children to grow up in big cities rather than in the countryside. In my opinion, I strongly disagree with disagree. This essay will provide two reasons supporting my idea.</w:t>
        <w:br/>
        <w:br/>
        <w:t>Children growing up in rural areas have better access to nature and fresh air. In other words, the natural surroundings help children feel calm and healthy. For instance, a child living near a farm can spend time playing outside in open fields. As a result, their physical health improves, and they learn about nature. Hence, it becomes evident that the countryside offers a healthier lifestyle for young people.</w:t>
        <w:br/>
        <w:br/>
        <w:t>Children raised in city environments often face high levels of stress and pollution. This is primarily due to the fact that urban areas have many vehicles and buildings. This can be exemplified by the fact that a child near a busy road might suffer from noise pollution. The outcome is that their mental well-being suffers, and they may feel anxious. This clearly aligns with the view that rural settings are better for mental health.</w:t>
        <w:br/>
        <w:br/>
        <w:t>In conclusion, I strongly disagree with the idea that city life is better for children. The natural surroundings provide a healthier lifestyle, and the rural settings are better for mental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