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#303 (c1)</w:t>
      </w:r>
    </w:p>
    <w:p>
      <w:r>
        <w:t xml:space="preserve">Prompt: </w:t>
      </w:r>
    </w:p>
    <w:p>
      <w:r>
        <w:t>--------------------</w:t>
      </w:r>
    </w:p>
    <w:p>
      <w:r>
        <w:t>The debate concerning whether children thrive better in metropolitan areas compared to the countryside is a persistent discussion. In my opinion, I strongly agree with agree. This essay will provide two reasons supporting my idea.</w:t>
        <w:br/>
        <w:br/>
        <w:t>Living in a big city offers children superior access to educational resources and cultural experiences. In other words, urban centers concentrate institutions that provide diverse learning opportunities. For instance, a child in a major city has immediate proximity to specialized museums and universities. As a result, their exposure to various academic fields and artistic forms is significantly enhanced. Hence, it becomes evident that city life greatly enriches a child's intellectual development.</w:t>
        <w:br/>
        <w:br/>
        <w:t>Furthermore, big cities provide greater convenience and better infrastructure for a child's overall development. This is primarily due to the fact that urban planning ensures reliable access to healthcare and transportation. This can be exemplified by the fact that specialized medical facilities are readily available within a short commute. The outcome is that parents can manage their professional commitments while ensuring their child receives timely care. This clearly aligns with the view that city amenities support a higher quality of life.</w:t>
        <w:br/>
        <w:br/>
        <w:t>In conclusion, I strongly agree with agree. This is clear from living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