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#303 (c1)</w:t>
      </w:r>
    </w:p>
    <w:p>
      <w:r>
        <w:t xml:space="preserve">Prompt: </w:t>
      </w:r>
    </w:p>
    <w:p>
      <w:r>
        <w:t>--------------------</w:t>
      </w:r>
    </w:p>
    <w:p>
      <w:r>
        <w:t>Some people argue that growing up in a large metropolitan area offers superior advantages compared to residing in the countryside. In my opinion, I strongly disagree with disagree. This essay will provide two reasons supporting my idea.</w:t>
        <w:br/>
        <w:br/>
        <w:t>Children raised in urban settings often benefit from greater access to diverse educational opportunities. In other words, city environments concentrate numerous academic institutions and specialized learning centers. For instance, a student living in a major city has immediate proximity to various museums and specialized workshops. As a result, their exposure to different fields of knowledge becomes significantly broader. Hence, it becomes evident that urban life facilitates a more comprehensive intellectual development.</w:t>
        <w:br/>
        <w:br/>
        <w:t>The quality of life in rural settings provides a more balanced and nurturing environment for childhood development. This is primarily due to the fact that the pace of life is generally slower and less stressful. This can be exemplified by the fact that children in farming communities spend more time engaging in outdoor activities. The outcome is that they develop a stronger connection with nature and possess better physical health. This clearly aligns with the view that a natural setting promotes holistic well-being.</w:t>
        <w:br/>
        <w:br/>
        <w:t>In conclusion, I strongly disagree with disagree. This is clear from children and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