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#307 (b2)</w:t>
      </w:r>
    </w:p>
    <w:p>
      <w:r>
        <w:t xml:space="preserve">Prompt: </w:t>
      </w:r>
    </w:p>
    <w:p>
      <w:r>
        <w:t>--------------------</w:t>
      </w:r>
    </w:p>
    <w:p>
      <w:r>
        <w:t>Some people feel drawn to dangerous sports or other risky activities. In my opinion, I strongly agree with agreeing with the statement. This essay will provide two reasons supporting my idea.</w:t>
        <w:br/>
        <w:br/>
        <w:t>One reason is the feeling of excitement that these activities provide. In other words, people seek a strong feeling of thrill and excitement in everyday life in many cases. For instance, skydiving gives participants a huge rush of adrenaline in everyday life in many cases. As a result, they feel alive and overcome daily stress in everyday life. Hence, it becomes evident that the search for intense feelings motivates participation.</w:t>
        <w:br/>
        <w:br/>
        <w:t>Another reason is the need for personal achievement and recognition. This is primarily due to the fact that mastering a difficult skill gives people a sense of accomplishment in everyday life in many cases. This can be exemplified by the fact that climbing a very high wall requires great physical strength in everyday life in many cases. The outcome is that individuals feel powerful and capable after completing the challenge in everyday life. This clearly aligns with the view that achieving goals boosts self-esteem.</w:t>
        <w:br/>
        <w:br/>
        <w:t>In conclusion, I strongly agree with agreeing with the statement. This is because these activities provide intense feelings of excitement and also allow individuals to achieve a sense of personal accomplishment.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