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#307 (c1)</w:t>
      </w:r>
    </w:p>
    <w:p>
      <w:r>
        <w:t xml:space="preserve">Prompt: </w:t>
      </w:r>
    </w:p>
    <w:p>
      <w:r>
        <w:t>--------------------</w:t>
      </w:r>
    </w:p>
    <w:p>
      <w:r>
        <w:t>Some individuals find themselves drawn to dangerous sports and activities that carry inherent risks. In my opinion, I strongly agree with agreeing with the statement. This essay will provide two reasons supporting my idea.</w:t>
        <w:br/>
        <w:br/>
        <w:t>One primary reason for this attraction is the intense psychological gratification derived from overcoming perceived danger. In other words, participants seek a heightened emotional state that normal life often fails to provide. For instance, skydiving offers a profound sense of accomplishment by confronting extreme altitude and velocity. As a result, the successful completion of such a challenging feat boosts self-esteem significantly. Hence, it becomes evident that the pursuit of intense thrills provides a powerful sense of mastery.</w:t>
        <w:br/>
        <w:br/>
        <w:t>Another compelling factor is the desire for intense emotional stimulation and the associated adrenaline rush. This is primarily due to the fact that these activities provide a powerful escape from mundane daily routines. This can be exemplified by the fact that white-water rafting allows participants to temporarily forget their everyday responsibilities. The outcome is that the focus shifts entirely to the immediate physical challenge, offering temporary relief. This clearly aligns with the view that sensation-seeking acts as a form of escapism.</w:t>
        <w:br/>
        <w:br/>
        <w:t>In conclusion, I strongly agree with agreeing with the statement. This is because the pursuit of intense thrills provides a powerful sense of mastery, and these activities also serve as a form of escapism from mundane daily routines.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