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(c1)</w:t>
      </w:r>
    </w:p>
    <w:p>
      <w:r>
        <w:t xml:space="preserve">Prompt: </w:t>
      </w:r>
    </w:p>
    <w:p>
      <w:r>
        <w:t>--------------------</w:t>
      </w:r>
    </w:p>
    <w:p>
      <w:r>
        <w:t>It is often debated whether individuals should engage in activities that do not bring them personal pleasure. In my opinion, I strongly agree with agreeing with the statement. This essay will provide two reasons supporting my idea.</w:t>
        <w:br/>
        <w:br/>
        <w:t>Engaging in mandatory activities, even those lacking personal enjoyment, is crucial for personal development. In other words, these obligations build character and expand one's skill set. For instance, a student might study advanced mathematics, a subject they find tedious, to qualify for a desired career. As a result, the discipline acquired through this challenging process prepares them for professional life. Hence, it becomes evident that such experiences foster valuable self-improvement.</w:t>
        <w:br/>
        <w:br/>
        <w:t>Furthermore, participating in non-preferred activities helps individuals develop mental toughness and adaptability. This is primarily due to the fact that confronting discomfort builds resilience and strengthens one's character. This can be exemplified by the fact that an employee must attend a presentation on a topic they find uninteresting. The outcome is that they learn to communicate complex ideas effectively, regardless of their initial enthusiasm. This clearly aligns with the view that professional growth requires embracing uncomfortable challenges.</w:t>
        <w:br/>
        <w:br/>
        <w:t>In conclusion, I strongly agree with agreeing with the statement. This is because mandatory activities cultivate valuable self-improvement by building discipline and expanding skill sets, while also fostering mental toughness and adaptability through confronting uncomfortable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