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#310 (b2)</w:t>
      </w:r>
    </w:p>
    <w:p>
      <w:r>
        <w:t xml:space="preserve">Prompt: </w:t>
      </w:r>
    </w:p>
    <w:p>
      <w:r>
        <w:t>--------------------</w:t>
      </w:r>
    </w:p>
    <w:p>
      <w:r>
        <w:t>The debate over whether a city should keep its old, historic buildings or tear them down for modern structures is a common one. In my opinion, I strongly disagree with supporting the second option. This essay will provide two reasons supporting my idea.</w:t>
        <w:br/>
        <w:br/>
        <w:t>Preserving old buildings helps maintain a city's unique character and sense of place. In other words, these structures tell the story of the community that built them over many years. For instance, a historic market square shows the original way people traded goods in the past. As a result, people feel a stronger connection to their roots and local identity. Hence, it becomes evident that keeping these buildings supports the community's cultural value.</w:t>
        <w:br/>
        <w:br/>
        <w:t>Historic buildings also provide economic benefits that new developments often miss. This is primarily due to the fact that old buildings can be adapted for new uses, like shops or offices. This can be exemplified by the fact that This can be exemplified by the reuse of a former factory into trendy art studios and cafes. The outcome is that local businesses can open up in these areas, creating jobs and attracting visitors. This clearly aligns with the view that preserving old buildings helps the local economy.</w:t>
        <w:br/>
        <w:br/>
        <w:t>In conclusion, I strongly disagree with supporting the second option. This is because preserving old buildings maintains a community's unique cultural identity and also provides significant economic advantages through adaptive reuse.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