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#312 (c1)</w:t>
      </w:r>
    </w:p>
    <w:p>
      <w:r>
        <w:t xml:space="preserve">Prompt: </w:t>
      </w:r>
    </w:p>
    <w:p>
      <w:r>
        <w:t>--------------------</w:t>
      </w:r>
    </w:p>
    <w:p>
      <w:r>
        <w:t>The debate concerning the ideal time to begin one's workday—whether early in the morning or late at night—is a common discussion. In my opinion, I strongly agree with agree. This essay will provide two reasons supporting my idea.</w:t>
        <w:br/>
        <w:br/>
        <w:t>Commencing work early in the day offers distinct advantages for maintaining a structured routine. In other words, starting the day with tasks allows individuals to utilize their peak mental acuity when they are most rested. For instance, an employee who begins work at sunrise can tackle complex projects before external distractions accumulate. As a result, the sense of accomplishment builds momentum throughout the morning hours. Hence, it becomes evident that early starts facilitate a highly productive work schedule.</w:t>
        <w:br/>
        <w:br/>
        <w:t>Conversely, working until late at night presents its own set of benefits for certain individuals. This is primarily due to the fact that the quiet hours offer an uninterrupted environment for deep concentration. This can be exemplified by the fact that writers often find their best flow state after the city has fallen silent. The outcome is that the absence of daytime interruptions permits a deeper level of focus on creative endeavors. This clearly aligns with the view that late-night work supports intense, solitary work.</w:t>
        <w:br/>
        <w:br/>
        <w:t>In conclusion, I strongly agree with agree. This is clear from commencing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