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#312 (c1)</w:t>
      </w:r>
    </w:p>
    <w:p>
      <w:r>
        <w:t xml:space="preserve">Prompt: </w:t>
      </w:r>
    </w:p>
    <w:p>
      <w:r>
        <w:t>--------------------</w:t>
      </w:r>
    </w:p>
    <w:p>
      <w:r>
        <w:t>There is a common debate regarding whether individuals should begin their workday early in the morning or work until late hours. In my opinion, I strongly disagree with disagree. This essay will provide two reasons supporting my idea.</w:t>
        <w:br/>
        <w:br/>
        <w:t>Many people prefer to wake up early and commence their professional duties. In other words, this routine suggests that starting the day with early activities promotes a sense of accomplishment. For instance, an individual might complete their most demanding tasks before the general population is fully active. As a result, they feel a significant sense of momentum and efficiency throughout the day. Hence, it becomes evident that an early start can establish a highly productive rhythm.</w:t>
        <w:br/>
        <w:br/>
        <w:t>Conversely, some individuals feel more productive by starting their work later and continuing into the evening. This is primarily due to the fact that working during later hours allows for a more natural alignment with one's personal energy levels. This can be exemplified by the fact that creative tasks often flourish when the mind is less rushed and more reflective. The outcome is that these individuals can maintain a deep focus without the pressure of an early schedule. This clearly aligns with the view that a later start supports sustained mental acuity.</w:t>
        <w:br/>
        <w:br/>
        <w:t>In conclusion, I strongly disagree with disagree. This is clear from prefer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