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#314 (c1)</w:t>
      </w:r>
    </w:p>
    <w:p>
      <w:r>
        <w:t xml:space="preserve">Prompt: </w:t>
      </w:r>
    </w:p>
    <w:p>
      <w:r>
        <w:t>--------------------</w:t>
      </w:r>
    </w:p>
    <w:p>
      <w:r>
        <w:t>While financial necessity is a primary motivator, human engagement with employment is driven by a wider spectrum of needs. In my opinion, I strongly agree with agree. This essay will provide two reasons supporting my idea.</w:t>
        <w:br/>
        <w:br/>
        <w:t>A significant reason people engage in work is the desire for personal fulfillment and self-actualization. In other words, individuals seek more than mere financial compensation from their careers in everyday life. For instance, volunteering at a local charity provides a sense of purpose beyond salary. As a result, people feel that their efforts contribute positively to the community. Hence, it becomes evident that the need for meaningful contribution is a powerful incentive.</w:t>
        <w:br/>
        <w:br/>
        <w:t>Another compelling reason for working is the pursuit of social status and belonging within a community. This is primarily due to the fact that professional achievements validate an individual's worth among peers in everyday life. This can be exemplified by the fact that obtaining a prestigious qualification enhances one's social standing. The outcome is that people gain acceptance and recognition from their immediate circle. This clearly aligns with the view that social validation is a fundamental human requirement.</w:t>
        <w:br/>
        <w:br/>
        <w:t>In conclusion, I strongly agree with agree. This is clear from significant and another.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