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#315 (c1)</w:t>
      </w:r>
    </w:p>
    <w:p>
      <w:r>
        <w:t xml:space="preserve">Prompt: </w:t>
      </w:r>
    </w:p>
    <w:p>
      <w:r>
        <w:t>--------------------</w:t>
      </w:r>
    </w:p>
    <w:p>
      <w:r>
        <w:t>The effectiveness of communication methods, such as written correspondence or telephone calls, is frequently debated. In my opinion, I strongly agree with agreeing with the statement. This essay will provide two reasons supporting my idea.</w:t>
        <w:br/>
        <w:br/>
        <w:t>Face-to-face interactions offer a superior method for conveying complex ideas. In other words, the immediate presence allows for a rich exchange of information in everyday life. For instance, discussing a sensitive project proposal in person helps build mutual trust in everyday life. As a result, misunderstandings are minimized because participants can observe body language. Hence, it becomes evident that direct interaction significantly enhances clarity and rapport.</w:t>
        <w:br/>
        <w:br/>
        <w:t>Furthermore, in-person meetings facilitate a deeper level of connection between individuals. This is primarily due to the fact that non-verbal cues provide crucial context to the discussion in everyday life. This can be exemplified by the fact that a slight change in tone can alter the meaning of spoken words in everyday life. The outcome is that the speaker receives immediate feedback, allowing for real-time adjustments to their message. This clearly aligns with the view that direct interaction is more effective for building relationships.</w:t>
        <w:br/>
        <w:br/>
        <w:t>In conclusion, I strongly agree with agreeing with the statement. This is because direct interaction minimizes misunderstandings and enhances clarity, while also facilitating a deeper connection through the utilization of non-verbal cues.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