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#315 (c1)</w:t>
      </w:r>
    </w:p>
    <w:p>
      <w:r>
        <w:t xml:space="preserve">Prompt: </w:t>
      </w:r>
    </w:p>
    <w:p>
      <w:r>
        <w:t>--------------------</w:t>
      </w:r>
    </w:p>
    <w:p>
      <w:r>
        <w:t>The effectiveness of face-to-face interaction compared to written or telephonic methods is a widely debated topic. In my opinion, I strongly disagree with disagreeing with the statement. This essay will provide two reasons supporting my idea.</w:t>
        <w:br/>
        <w:br/>
        <w:t>Written and electronic communication methods possess distinct advantages that often surpass those of in-person talks. In other words, these mediums allow individuals to communicate at their own pace, which is highly beneficial for complex thought. For instance, a person can take time to structure a detailed argument in an email, ensuring grammatical accuracy and comprehensive coverage. As a result, the recipient has the opportunity to review the material multiple times, aiding in deeper comprehension. Hence, it becomes evident that asynchronous methods support thorough reflection and detailed record-keeping.</w:t>
        <w:br/>
        <w:br/>
        <w:t>Other communication methods are equally valuable because they offer flexibility and accessibility to a wider audience. This is primarily due to the fact that written correspondence does not require the immediate physical presence of both parties involved. This can be exemplified by the fact that international business transactions frequently rely on written reports and digital platforms. The outcome is that geographical barriers are effectively eliminated, allowing global collaboration to flourish seamlessly. This clearly aligns with the view that modern technology enhances connectivity and operational reach.</w:t>
        <w:br/>
        <w:br/>
        <w:t>In conclusion, I strongly disagree with the statement that face-to-face communication is superior. Written and electronic methods provide advantages in reflection and record-keeping, while other methods enhance connectivity and operational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