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#316 (c1)</w:t>
      </w:r>
    </w:p>
    <w:p>
      <w:r>
        <w:t xml:space="preserve">Prompt: </w:t>
      </w:r>
    </w:p>
    <w:p>
      <w:r>
        <w:t>--------------------</w:t>
      </w:r>
    </w:p>
    <w:p>
      <w:r>
        <w:t>Taking risks is an essential component of personal growth and professional advancement. In my opinion, I strongly agree with agreeing with the statement. This essay will provide two reasons supporting my idea.</w:t>
        <w:br/>
        <w:br/>
        <w:t>Embracing calculated risks is crucial for achieving significant personal milestones. In other words, remaining within one's comfort zone inevitably limits potential achievements in everyday life. For instance, an individual who never applies for a promotion will never experience the associated career growth in everyday life. As a result, the scope of one's professional life remains confined to the status quo. Hence, it becomes evident that venturing outside familiar boundaries is necessary for progress.</w:t>
        <w:br/>
        <w:br/>
        <w:t>Taking chances can significantly enhance one's resilience and problem-solving abilities. This is primarily due to the fact that navigating uncertainty forces the development of new coping mechanisms in everyday life. This can be exemplified by the fact that learning a complex new skill requires overcoming initial failures in everyday life. The outcome is that the individual develops greater confidence and adaptability in challenging situations. This clearly aligns with the view that calculated risks build invaluable life skills.</w:t>
        <w:br/>
        <w:br/>
        <w:t>In conclusion, I strongly agree that taking risks is beneficial because it facilitates personal milestones and builds invaluable life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