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#316 (c1)</w:t>
      </w:r>
    </w:p>
    <w:p>
      <w:r>
        <w:t xml:space="preserve">Prompt: </w:t>
      </w:r>
    </w:p>
    <w:p>
      <w:r>
        <w:t>--------------------</w:t>
      </w:r>
    </w:p>
    <w:p>
      <w:r>
        <w:t>The notion that taking risks is inherently detrimental to personal and professional growth is a widely debated concept. In my opinion, I strongly disagree with disagreeing with the statement. This essay will provide two reasons supporting my idea.</w:t>
        <w:br/>
        <w:br/>
        <w:t>Embracing calculated risks is crucial for achieving significant personal and professional milestones. In other words, remaining within a comfort zone inevitably limits one's potential for advancement. For instance, an individual who never applies for a promotion, despite being qualified, will miss out on career progression. As a result, stagnation becomes the most probable outcome, hindering overall development. Hence, it becomes evident that calculated risks are necessary catalysts for substantial self-improvement.</w:t>
        <w:br/>
        <w:br/>
        <w:t>Furthermore, the potential rewards associated with taking calculated risks far outweigh the perceived dangers. This is primarily due to the fact that the greatest opportunities often lie outside of familiar boundaries. This can be exemplified by the fact that innovative startups frequently face initial financial instability before achieving market dominance. The outcome is that those who are willing to venture into uncertain territory are the ones who redefine industries. This clearly aligns with the view that calculated risks are essential for pioneering success.</w:t>
        <w:br/>
        <w:br/>
        <w:t>In conclusion, I strongly disagree with the notion that taking risks is detrimental; instead, calculated risks are vital for achieving self-improvement, and they are also essential for pioneering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