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#318 (c1)</w:t>
      </w:r>
    </w:p>
    <w:p>
      <w:r>
        <w:t xml:space="preserve">Prompt: </w:t>
      </w:r>
    </w:p>
    <w:p>
      <w:r>
        <w:t>--------------------</w:t>
      </w:r>
    </w:p>
    <w:p>
      <w:r>
        <w:t>While some people believe that financial compensation is the most crucial aspect of employment, this viewpoint overlooks other vital elements of a fulfilling career. In my opinion, I strongly disagree with disagreeing with the statement. This essay will provide two reasons supporting my idea.</w:t>
        <w:br/>
        <w:br/>
        <w:t>The primary consideration in choosing a job should be the level of personal fulfillment it offers. In other words, a career should provide opportunities for self-actualization and intellectual growth. For instance, working in a field of genuine passion, such as conservation, can be deeply rewarding. As a result, individuals feel a sense of purpose that transcends mere financial gain. Hence, it becomes evident that job satisfaction is a more significant motivator than salary alone.</w:t>
        <w:br/>
        <w:br/>
        <w:t>Another reason is that a job should contribute positively to one's overall well-being and personal development. This is primarily due to the fact that meaningful work often involves utilizing one's unique skills and talents. This can be exemplified by the fact that volunteer work or specialized training within a role enhances personal capability. The outcome is that employees develop a stronger sense of identity and professional competence. This clearly aligns with the view that personal growth is paramount in a successful career.</w:t>
        <w:br/>
        <w:br/>
        <w:t>In conclusion, I strongly disagree with disagreeing with the statement. This is because prioritizing personal fulfillment provides a sense of purpose, and furthermore, meaningful employment facilitates the development of professional competence and self-identity.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