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#319 (c1)</w:t>
      </w:r>
    </w:p>
    <w:p>
      <w:r>
        <w:t xml:space="preserve">Prompt: </w:t>
      </w:r>
    </w:p>
    <w:p>
      <w:r>
        <w:t>--------------------</w:t>
      </w:r>
    </w:p>
    <w:p>
      <w:r>
        <w:t>The notion that a person's inherent worth can be determined solely by their external appearance is a widely debated topic. In my opinion, I strongly disagree with disagree. This essay will provide two reasons supporting my idea.</w:t>
        <w:br/>
        <w:br/>
        <w:t>A person's character and inner qualities are far more significant than their physical looks. In other words, judging someone based on superficial trappings overlooks their true potential. For instance, a highly skilled musician might possess an unassuming appearance, yet their talent is undeniable. As a result, focusing only on looks leads to a severely limited perception of an individual's capabilities. Hence, it becomes evident that intrinsic qualities merit greater consideration than mere aesthetics.</w:t>
        <w:br/>
        <w:br/>
        <w:t>Furthermore, external appearance does not accurately reflect a person's moral compass or intelligence. This is primarily due to the fact that people can mask their true nature behind carefully curated looks. This can be exemplified by the fact that some individuals maintain a polished facade while exhibiting poor behavior. The outcome is that society risks misinterpreting outward presentation as a reliable indicator of character. This clearly aligns with the view that deep discernment is necessary to understand a person's true self.</w:t>
        <w:br/>
        <w:br/>
        <w:t>In conclusion, I strongly disagree with disagree. This is clear from person's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